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221E3" w14:textId="77777777" w:rsidR="00F83789" w:rsidRDefault="00F83789" w:rsidP="00F83789">
      <w:pPr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Information of antibodies used for flow cytometric analysis</w:t>
      </w:r>
    </w:p>
    <w:tbl>
      <w:tblPr>
        <w:tblW w:w="8191" w:type="dxa"/>
        <w:jc w:val="center"/>
        <w:tblLook w:val="04A0" w:firstRow="1" w:lastRow="0" w:firstColumn="1" w:lastColumn="0" w:noHBand="0" w:noVBand="1"/>
      </w:tblPr>
      <w:tblGrid>
        <w:gridCol w:w="4820"/>
        <w:gridCol w:w="1995"/>
        <w:gridCol w:w="1376"/>
      </w:tblGrid>
      <w:tr w:rsidR="00F83789" w14:paraId="1798DD74" w14:textId="77777777" w:rsidTr="00677041">
        <w:trPr>
          <w:trHeight w:val="397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6ADEC1" w14:textId="77777777" w:rsidR="00F83789" w:rsidRDefault="00F83789" w:rsidP="00677041">
            <w:pP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  <w:t>Antibodies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9F04B0F" w14:textId="77777777" w:rsidR="00F83789" w:rsidRDefault="00F83789" w:rsidP="00677041">
            <w:pP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  <w:t>Clone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27C5A17" w14:textId="77777777" w:rsidR="00F83789" w:rsidRDefault="00F83789" w:rsidP="00677041">
            <w:pP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b/>
                <w:bCs/>
                <w:color w:val="000000" w:themeColor="text1"/>
              </w:rPr>
              <w:t>Source</w:t>
            </w:r>
          </w:p>
        </w:tc>
      </w:tr>
      <w:tr w:rsidR="00F83789" w14:paraId="31324F45" w14:textId="77777777" w:rsidTr="00677041">
        <w:trPr>
          <w:trHeight w:val="397"/>
          <w:jc w:val="center"/>
        </w:trPr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46E5A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FITC </w:t>
            </w:r>
            <w:r w:rsidRPr="00301DA1">
              <w:rPr>
                <w:rFonts w:ascii="Times New Roman" w:eastAsia="等线" w:hAnsi="Times New Roman" w:cs="Times New Roman"/>
                <w:color w:val="000000" w:themeColor="text1"/>
              </w:rPr>
              <w:t>Anti-Human CD127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BA49EA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01DA1">
              <w:rPr>
                <w:rFonts w:ascii="Times New Roman" w:eastAsia="等线" w:hAnsi="Times New Roman" w:cs="Times New Roman"/>
                <w:color w:val="000000" w:themeColor="text1"/>
              </w:rPr>
              <w:t>HIL-7R-M21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B259F9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BD</w:t>
            </w:r>
          </w:p>
        </w:tc>
      </w:tr>
      <w:tr w:rsidR="00F83789" w14:paraId="328A8C38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7217CB2D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PE </w:t>
            </w:r>
            <w:r w:rsidRPr="005675C9">
              <w:rPr>
                <w:rFonts w:ascii="Times New Roman" w:eastAsia="等线" w:hAnsi="Times New Roman" w:cs="Times New Roman"/>
                <w:color w:val="000000" w:themeColor="text1"/>
              </w:rPr>
              <w:t>Anti-Human</w:t>
            </w: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 CD4</w:t>
            </w:r>
          </w:p>
        </w:tc>
        <w:tc>
          <w:tcPr>
            <w:tcW w:w="1995" w:type="dxa"/>
            <w:noWrap/>
            <w:vAlign w:val="center"/>
            <w:hideMark/>
          </w:tcPr>
          <w:p w14:paraId="15DA77A2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5675C9">
              <w:rPr>
                <w:rFonts w:ascii="Times New Roman" w:eastAsia="等线" w:hAnsi="Times New Roman" w:cs="Times New Roman"/>
                <w:color w:val="000000" w:themeColor="text1"/>
              </w:rPr>
              <w:t>L200</w:t>
            </w:r>
          </w:p>
        </w:tc>
        <w:tc>
          <w:tcPr>
            <w:tcW w:w="1376" w:type="dxa"/>
            <w:noWrap/>
            <w:vAlign w:val="center"/>
            <w:hideMark/>
          </w:tcPr>
          <w:p w14:paraId="792C461C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BD</w:t>
            </w:r>
          </w:p>
        </w:tc>
      </w:tr>
      <w:tr w:rsidR="00F83789" w14:paraId="759E2F37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0832177D" w14:textId="77777777" w:rsidR="00F83789" w:rsidRPr="00432A60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432A60">
              <w:rPr>
                <w:rFonts w:ascii="Times New Roman" w:eastAsia="等线" w:hAnsi="Times New Roman" w:cs="Times New Roman"/>
                <w:color w:val="000000" w:themeColor="text1"/>
                <w:lang w:val="fr-FR"/>
              </w:rPr>
              <w:t>PE-Cy7 Anti-Human CD25</w:t>
            </w:r>
          </w:p>
        </w:tc>
        <w:tc>
          <w:tcPr>
            <w:tcW w:w="1995" w:type="dxa"/>
            <w:noWrap/>
            <w:vAlign w:val="center"/>
            <w:hideMark/>
          </w:tcPr>
          <w:p w14:paraId="04BBD368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432A60">
              <w:rPr>
                <w:rFonts w:ascii="Times New Roman" w:eastAsia="等线" w:hAnsi="Times New Roman" w:cs="Times New Roman"/>
                <w:color w:val="000000" w:themeColor="text1"/>
              </w:rPr>
              <w:t>M-A251</w:t>
            </w:r>
          </w:p>
        </w:tc>
        <w:tc>
          <w:tcPr>
            <w:tcW w:w="1376" w:type="dxa"/>
            <w:noWrap/>
            <w:vAlign w:val="center"/>
            <w:hideMark/>
          </w:tcPr>
          <w:p w14:paraId="34A9EAB7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BD</w:t>
            </w:r>
          </w:p>
        </w:tc>
      </w:tr>
      <w:tr w:rsidR="00F83789" w14:paraId="7AB2ECEB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50864EC9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432A60">
              <w:rPr>
                <w:rFonts w:ascii="Times New Roman" w:eastAsia="等线" w:hAnsi="Times New Roman" w:cs="Times New Roman"/>
                <w:color w:val="000000" w:themeColor="text1"/>
              </w:rPr>
              <w:t>PE-Cy5 Anti-Human CD45</w:t>
            </w:r>
          </w:p>
        </w:tc>
        <w:tc>
          <w:tcPr>
            <w:tcW w:w="1995" w:type="dxa"/>
            <w:noWrap/>
            <w:vAlign w:val="center"/>
            <w:hideMark/>
          </w:tcPr>
          <w:p w14:paraId="4B894DF6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432A60">
              <w:rPr>
                <w:rFonts w:ascii="Times New Roman" w:eastAsia="等线" w:hAnsi="Times New Roman" w:cs="Times New Roman"/>
                <w:color w:val="000000" w:themeColor="text1"/>
              </w:rPr>
              <w:t>HI30</w:t>
            </w:r>
          </w:p>
        </w:tc>
        <w:tc>
          <w:tcPr>
            <w:tcW w:w="1376" w:type="dxa"/>
            <w:noWrap/>
            <w:vAlign w:val="center"/>
            <w:hideMark/>
          </w:tcPr>
          <w:p w14:paraId="6D80A125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BD</w:t>
            </w:r>
          </w:p>
        </w:tc>
      </w:tr>
      <w:tr w:rsidR="00F83789" w14:paraId="113433F9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3D37E38A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FITC</w:t>
            </w: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 </w:t>
            </w:r>
            <w:r w:rsidRPr="005675C9">
              <w:rPr>
                <w:rFonts w:ascii="Times New Roman" w:eastAsia="等线" w:hAnsi="Times New Roman" w:cs="Times New Roman"/>
                <w:color w:val="000000" w:themeColor="text1"/>
              </w:rPr>
              <w:t>Anti-Human</w:t>
            </w: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 CD4</w:t>
            </w:r>
          </w:p>
        </w:tc>
        <w:tc>
          <w:tcPr>
            <w:tcW w:w="1995" w:type="dxa"/>
            <w:noWrap/>
            <w:vAlign w:val="center"/>
            <w:hideMark/>
          </w:tcPr>
          <w:p w14:paraId="2420FBD4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RPA-T4</w:t>
            </w:r>
          </w:p>
        </w:tc>
        <w:tc>
          <w:tcPr>
            <w:tcW w:w="1376" w:type="dxa"/>
            <w:noWrap/>
            <w:vAlign w:val="center"/>
            <w:hideMark/>
          </w:tcPr>
          <w:p w14:paraId="2069AD90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eBioscience</w:t>
            </w:r>
          </w:p>
        </w:tc>
      </w:tr>
      <w:tr w:rsidR="00F83789" w14:paraId="342BB814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1ABA95F3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APC</w:t>
            </w:r>
            <w:r>
              <w:rPr>
                <w:rFonts w:ascii="Times New Roman" w:eastAsia="等线" w:hAnsi="Times New Roman" w:cs="Times New Roman"/>
                <w:color w:val="000000" w:themeColor="text1"/>
              </w:rPr>
              <w:t xml:space="preserve"> </w:t>
            </w:r>
            <w:r w:rsidRPr="00432A60">
              <w:rPr>
                <w:rFonts w:ascii="Times New Roman" w:eastAsia="等线" w:hAnsi="Times New Roman" w:cs="Times New Roman"/>
                <w:color w:val="000000" w:themeColor="text1"/>
                <w:lang w:val="fr-FR"/>
              </w:rPr>
              <w:t>Anti-Human CD25</w:t>
            </w:r>
          </w:p>
        </w:tc>
        <w:tc>
          <w:tcPr>
            <w:tcW w:w="1995" w:type="dxa"/>
            <w:noWrap/>
            <w:vAlign w:val="center"/>
            <w:hideMark/>
          </w:tcPr>
          <w:p w14:paraId="0317517D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BC96</w:t>
            </w:r>
          </w:p>
        </w:tc>
        <w:tc>
          <w:tcPr>
            <w:tcW w:w="1376" w:type="dxa"/>
            <w:noWrap/>
            <w:vAlign w:val="center"/>
            <w:hideMark/>
          </w:tcPr>
          <w:p w14:paraId="309DE374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eBioscience</w:t>
            </w:r>
          </w:p>
        </w:tc>
      </w:tr>
      <w:tr w:rsidR="00F83789" w14:paraId="6921CDF4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0C41A711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Helvetica" w:hAnsi="Helvetica" w:cs="Helvetica"/>
                <w:color w:val="222222"/>
                <w:szCs w:val="21"/>
                <w:shd w:val="clear" w:color="auto" w:fill="FFFFFF"/>
              </w:rPr>
              <w:t xml:space="preserve">PE </w:t>
            </w: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Anti-Human Foxp3</w:t>
            </w:r>
          </w:p>
        </w:tc>
        <w:tc>
          <w:tcPr>
            <w:tcW w:w="1995" w:type="dxa"/>
            <w:noWrap/>
            <w:vAlign w:val="center"/>
            <w:hideMark/>
          </w:tcPr>
          <w:p w14:paraId="4DB2FBCF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340344">
              <w:rPr>
                <w:rFonts w:ascii="Times New Roman" w:eastAsia="等线" w:hAnsi="Times New Roman" w:cs="Times New Roman"/>
                <w:color w:val="000000" w:themeColor="text1"/>
              </w:rPr>
              <w:t>236A/E7</w:t>
            </w:r>
          </w:p>
        </w:tc>
        <w:tc>
          <w:tcPr>
            <w:tcW w:w="1376" w:type="dxa"/>
            <w:noWrap/>
            <w:vAlign w:val="center"/>
            <w:hideMark/>
          </w:tcPr>
          <w:p w14:paraId="66731CB9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eBioscience</w:t>
            </w:r>
          </w:p>
        </w:tc>
      </w:tr>
      <w:tr w:rsidR="00F83789" w14:paraId="374685ED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50E7074B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1B79B5">
              <w:rPr>
                <w:rFonts w:ascii="Times New Roman" w:eastAsia="等线" w:hAnsi="Times New Roman" w:cs="Times New Roman"/>
                <w:color w:val="000000" w:themeColor="text1"/>
              </w:rPr>
              <w:t>FITC anti-mouse CD25</w:t>
            </w:r>
          </w:p>
        </w:tc>
        <w:tc>
          <w:tcPr>
            <w:tcW w:w="1995" w:type="dxa"/>
            <w:noWrap/>
            <w:vAlign w:val="center"/>
            <w:hideMark/>
          </w:tcPr>
          <w:p w14:paraId="4A0FB98A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1B79B5">
              <w:rPr>
                <w:rFonts w:ascii="Times New Roman" w:eastAsia="等线" w:hAnsi="Times New Roman" w:cs="Times New Roman"/>
                <w:color w:val="000000" w:themeColor="text1"/>
              </w:rPr>
              <w:t>3C7</w:t>
            </w:r>
          </w:p>
        </w:tc>
        <w:tc>
          <w:tcPr>
            <w:tcW w:w="1376" w:type="dxa"/>
            <w:noWrap/>
            <w:vAlign w:val="center"/>
            <w:hideMark/>
          </w:tcPr>
          <w:p w14:paraId="584DAF2F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Biolegend</w:t>
            </w:r>
          </w:p>
        </w:tc>
      </w:tr>
      <w:tr w:rsidR="00F83789" w14:paraId="54D8ACBD" w14:textId="77777777" w:rsidTr="00677041">
        <w:trPr>
          <w:trHeight w:val="397"/>
          <w:jc w:val="center"/>
        </w:trPr>
        <w:tc>
          <w:tcPr>
            <w:tcW w:w="4820" w:type="dxa"/>
            <w:noWrap/>
            <w:vAlign w:val="center"/>
            <w:hideMark/>
          </w:tcPr>
          <w:p w14:paraId="278CA57F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1B79B5">
              <w:rPr>
                <w:rFonts w:ascii="Times New Roman" w:eastAsia="等线" w:hAnsi="Times New Roman" w:cs="Times New Roman"/>
                <w:color w:val="000000" w:themeColor="text1"/>
              </w:rPr>
              <w:t>APC anti-mouse CD4</w:t>
            </w:r>
          </w:p>
        </w:tc>
        <w:tc>
          <w:tcPr>
            <w:tcW w:w="1995" w:type="dxa"/>
            <w:noWrap/>
            <w:vAlign w:val="center"/>
            <w:hideMark/>
          </w:tcPr>
          <w:p w14:paraId="59B5CF27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1B79B5">
              <w:rPr>
                <w:rFonts w:ascii="Times New Roman" w:eastAsia="等线" w:hAnsi="Times New Roman" w:cs="Times New Roman"/>
                <w:color w:val="000000" w:themeColor="text1"/>
              </w:rPr>
              <w:t>GK1.5</w:t>
            </w:r>
          </w:p>
        </w:tc>
        <w:tc>
          <w:tcPr>
            <w:tcW w:w="1376" w:type="dxa"/>
            <w:noWrap/>
            <w:vAlign w:val="center"/>
            <w:hideMark/>
          </w:tcPr>
          <w:p w14:paraId="2ED8F917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Biolegend</w:t>
            </w:r>
          </w:p>
        </w:tc>
      </w:tr>
      <w:tr w:rsidR="00F83789" w14:paraId="78BF7ADB" w14:textId="77777777" w:rsidTr="00677041">
        <w:trPr>
          <w:trHeight w:val="397"/>
          <w:jc w:val="center"/>
        </w:trPr>
        <w:tc>
          <w:tcPr>
            <w:tcW w:w="482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767B025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 w:rsidRPr="008A214D">
              <w:rPr>
                <w:rFonts w:ascii="Times New Roman" w:eastAsia="等线" w:hAnsi="Times New Roman" w:cs="Times New Roman"/>
                <w:color w:val="000000" w:themeColor="text1"/>
              </w:rPr>
              <w:t>PE anti-mouse FOXP3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FDD3AFA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MF-14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52C8A38" w14:textId="77777777" w:rsidR="00F83789" w:rsidRDefault="00F83789" w:rsidP="00677041">
            <w:pPr>
              <w:rPr>
                <w:rFonts w:ascii="Times New Roman" w:eastAsia="等线" w:hAnsi="Times New Roman" w:cs="Times New Roman"/>
                <w:color w:val="000000" w:themeColor="text1"/>
              </w:rPr>
            </w:pPr>
            <w:r>
              <w:rPr>
                <w:rFonts w:ascii="Times New Roman" w:eastAsia="等线" w:hAnsi="Times New Roman" w:cs="Times New Roman"/>
                <w:color w:val="000000" w:themeColor="text1"/>
              </w:rPr>
              <w:t>Biolegend</w:t>
            </w:r>
          </w:p>
        </w:tc>
      </w:tr>
    </w:tbl>
    <w:p w14:paraId="64D90EB4" w14:textId="77777777" w:rsidR="00F83789" w:rsidRDefault="00F83789" w:rsidP="00F83789"/>
    <w:p w14:paraId="2B016149" w14:textId="77777777" w:rsidR="005719B1" w:rsidRDefault="005719B1"/>
    <w:sectPr w:rsidR="005719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4DD0E" w14:textId="77777777" w:rsidR="00595946" w:rsidRDefault="00595946" w:rsidP="00F83789">
      <w:r>
        <w:separator/>
      </w:r>
    </w:p>
  </w:endnote>
  <w:endnote w:type="continuationSeparator" w:id="0">
    <w:p w14:paraId="1F017300" w14:textId="77777777" w:rsidR="00595946" w:rsidRDefault="00595946" w:rsidP="00F8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AA224" w14:textId="77777777" w:rsidR="00595946" w:rsidRDefault="00595946" w:rsidP="00F83789">
      <w:r>
        <w:separator/>
      </w:r>
    </w:p>
  </w:footnote>
  <w:footnote w:type="continuationSeparator" w:id="0">
    <w:p w14:paraId="304D3611" w14:textId="77777777" w:rsidR="00595946" w:rsidRDefault="00595946" w:rsidP="00F83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092"/>
    <w:rsid w:val="005719B1"/>
    <w:rsid w:val="00595946"/>
    <w:rsid w:val="007A20CB"/>
    <w:rsid w:val="00F83789"/>
    <w:rsid w:val="00FD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DF31C78-5D2F-4CED-BC95-B96939BDB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789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7A20CB"/>
    <w:tblPr>
      <w:tblBorders>
        <w:top w:val="single" w:sz="4" w:space="0" w:color="auto"/>
        <w:bottom w:val="single" w:sz="4" w:space="0" w:color="auto"/>
      </w:tblBorders>
    </w:tblPr>
    <w:tblStylePr w:type="firstRow">
      <w:pPr>
        <w:jc w:val="both"/>
      </w:pPr>
      <w:tblPr/>
      <w:tcPr>
        <w:tcBorders>
          <w:bottom w:val="single" w:sz="4" w:space="0" w:color="auto"/>
        </w:tcBorders>
      </w:tcPr>
    </w:tblStylePr>
  </w:style>
  <w:style w:type="paragraph" w:styleId="a4">
    <w:name w:val="header"/>
    <w:basedOn w:val="a"/>
    <w:link w:val="a5"/>
    <w:uiPriority w:val="99"/>
    <w:unhideWhenUsed/>
    <w:rsid w:val="00F8378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F8378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F83789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F837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事成 林</dc:creator>
  <cp:keywords/>
  <dc:description/>
  <cp:lastModifiedBy>事成 林</cp:lastModifiedBy>
  <cp:revision>2</cp:revision>
  <dcterms:created xsi:type="dcterms:W3CDTF">2024-01-27T14:25:00Z</dcterms:created>
  <dcterms:modified xsi:type="dcterms:W3CDTF">2024-01-27T14:25:00Z</dcterms:modified>
</cp:coreProperties>
</file>